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541E" w14:textId="77777777" w:rsidR="004B25B9" w:rsidRDefault="004B25B9" w:rsidP="004B25B9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8"/>
          <w:szCs w:val="28"/>
        </w:rPr>
        <w:t>Klub Radnych</w:t>
      </w:r>
    </w:p>
    <w:p w14:paraId="2B28E0C9" w14:textId="77777777" w:rsidR="004B25B9" w:rsidRDefault="004B25B9" w:rsidP="004B25B9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8"/>
          <w:szCs w:val="28"/>
        </w:rPr>
        <w:t>Chełmno – Miasto Mieszkańców</w:t>
      </w:r>
    </w:p>
    <w:p w14:paraId="5A444959" w14:textId="77777777" w:rsidR="004B25B9" w:rsidRDefault="004B25B9" w:rsidP="004B25B9">
      <w:pPr>
        <w:spacing w:after="240"/>
      </w:pPr>
    </w:p>
    <w:p w14:paraId="08BEBC5E" w14:textId="77777777" w:rsidR="004B25B9" w:rsidRDefault="004B25B9" w:rsidP="004B25B9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Opinia</w:t>
      </w:r>
    </w:p>
    <w:p w14:paraId="184D1E3E" w14:textId="77777777" w:rsidR="004B25B9" w:rsidRDefault="004B25B9" w:rsidP="004B25B9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</w:t>
      </w:r>
    </w:p>
    <w:p w14:paraId="618DFDEC" w14:textId="77777777" w:rsidR="004B25B9" w:rsidRDefault="004B25B9" w:rsidP="004B25B9">
      <w:pPr>
        <w:pStyle w:val="NormalnyWeb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raportu o stanie Gminy Miasto Chełmno za 2022 rok</w:t>
      </w:r>
    </w:p>
    <w:p w14:paraId="1F5338ED" w14:textId="77777777" w:rsidR="004B25B9" w:rsidRDefault="004B25B9" w:rsidP="004B25B9">
      <w:pPr>
        <w:spacing w:after="240"/>
      </w:pPr>
    </w:p>
    <w:p w14:paraId="56BBAF0B" w14:textId="77777777" w:rsidR="004B25B9" w:rsidRDefault="004B25B9" w:rsidP="004B25B9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Klub radnych Chełmno - Miasto Mieszkańców wyraża pozytywną opinię do Raportu o stanie gminy za 2022 rok. Przedstawione i uwzględnione w nim zostały najważniejsze problemy miasta oraz działania, jakie zostały podjęte              w 2022 roku w celu ich rozwiązania.</w:t>
      </w:r>
    </w:p>
    <w:p w14:paraId="793715C1" w14:textId="77777777" w:rsidR="004B25B9" w:rsidRDefault="004B25B9" w:rsidP="004B25B9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Największy wpływ na przyszły rozwój miały działania związane z organizacją miasta. Pozornie mało ciekawe, jednak od planowania przestrzennego zależy wiele np. czy na danym obszarze miasta jest możliwość budowy budynku mieszkalnego czy rozwijania działalności gospodarczej. W lutym przyjęto Studium uwarunkowań i kierunków zagospodarowania przestrzennego Gminy Miasta Chełmna. Dzięki temu miasto zyskało nowe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tereny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na których można wybudować domy wielorodzinne (Należy zauważyć, że od 2019 roku sukcesywnie rośnie powierzchnia budynków mieszkalnych na terenie Chełmna a Społeczna Komisja Mieszkaniowa w składzie: Magdalena Mrozek, Marek Gębka, Adam Maćkowski, kierownik i pracownicy MOPS oraz pracownicy CHSIM prowadzą działania mające na celu zaspokojenie zapotrzebowania na najem lokali z zasobu mieszkaniowego. Odpowiedzią na potrzeby rynku mieszkaniowego jest również przygotowanie inwestycji przy ul. Biskupiej 23A przez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ChSIM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czy prowadzenie programu „Najmu za remont” – 5 wyremontowanych lokali w 2022 r.), zabezpieczono tereny pod rozwój miejskiej farmy fotowoltaicznej (co w kontekście problemów z cenami energii było przyszłościowo bardzo dobrym rozwiązaniem), powiększono teren przeznaczony pod rozwój przemysłu.</w:t>
      </w:r>
    </w:p>
    <w:p w14:paraId="514A885F" w14:textId="77777777" w:rsidR="004B25B9" w:rsidRDefault="004B25B9" w:rsidP="004B25B9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Nadal kreowana jest sieć zielonych powiązań miasta. Podążając za zdiagnozowanymi w 2019 roku potrzebami mieszkanek i mieszkańców rozwijana jest możliwość bezpiecznego przemieszczania się pieszo lub rowerem, którą deklarowało ok. 60% osób mieszkających w Chełmnie.</w:t>
      </w:r>
    </w:p>
    <w:p w14:paraId="335E76B6" w14:textId="77777777" w:rsidR="004B25B9" w:rsidRDefault="004B25B9" w:rsidP="004B25B9"/>
    <w:p w14:paraId="49FCE18F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Realizowano rozliczne inwestycje często ze znacznym dofinansowaniem. Przeprowadzono min. modernizację oświetlenia ulicznego i parkowego, w obiektach oświatowych i Urzędzie Miasta. W 2022 r. odnotowano niemal dwukrotny skok średniej rocznej ceny energii elektrycznej na rynku konkurencyjnym - wynika z raportu przedstawionego przez Urząd Regulacji Energetyki. To pierwszy tak znaczący wzrost od siedmiu lat. Dzięki realizacji tej inwestycji, która trwała już od 21r. nie tylko nie zapłaciliśmy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więcej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ale możliwe były oszczędności ok. 200 tys. zł; </w:t>
      </w:r>
    </w:p>
    <w:p w14:paraId="056602B2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Opracowanie koncepcji urbanistyczno-architektonicznej w 22r. ośrodka nad Jeziorem Starogrodzkim pozwoliło w tym roku pozyskać środki na remont części restauracyjnej. Inwestycja ok. 150 tys. zł w 22r. pozwoliła pozyskać ok. 4 mln zł w tym roku.</w:t>
      </w:r>
    </w:p>
    <w:p w14:paraId="35820EAD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Budowa ul. Kolejowej wraz z oświetleniem pozwala nie tylko mieszkankom i mieszkańcom naszego miasta, ale również gmin ościennych w wygodny sposób korzystać z usług Starostwa Powiatowego. Powstały w trakcie inwestycji parking może być zagospodarowany przez mieszkańców okolicznych osiedli jako rezerwowy, gdy nie można zaparkować “pod blokiem”.</w:t>
      </w:r>
    </w:p>
    <w:p w14:paraId="5979DC89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Należy również wspomnieć, że 22r. był ostatnim, w którym realizowano inwestycję z Budżetu Obywatelskiego, ponieważ stan finansów publicznych do jakiego doprowadziły rządy PIS, nie pozwalają na partycypację społeczną w ramach tego instrumentu. Wybudowano jednak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Skate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-Park wraz z ogrodzeniem. Była to inwestycja szczególnie oczekiwana przez młodsze pokolenie.</w:t>
      </w:r>
    </w:p>
    <w:p w14:paraId="330E5DDE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Przebudowa objazdu Zachodniego Zespołu Staromiejskiego z dofinansowaniem ponad 1,1 mln zł przy całym koszcie ok. 3,1 mln zł   wpłynęła znacząco na poprawę bezpieczeństwa jak również walorów turystycznych tego fragmentu miasta.</w:t>
      </w:r>
    </w:p>
    <w:p w14:paraId="4933EF48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Przebudowa oczekiwanych przez mieszkanki i mieszkańców przejść dla pieszych na ul. Szosa Grudziądzka,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Łunawska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Kamionka, Toruńska czy Osnowska poprawiły bezpieczeństwo pieszych, każde z nich z dofinansowaniem.</w:t>
      </w:r>
    </w:p>
    <w:p w14:paraId="686F6AA1" w14:textId="77777777" w:rsidR="004B25B9" w:rsidRDefault="004B25B9" w:rsidP="004B25B9">
      <w:pPr>
        <w:pStyle w:val="NormalnyWeb"/>
        <w:spacing w:before="0" w:beforeAutospacing="0" w:after="16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Przyznano dotację dla Zakładu Wodociągów i Kanalizacji, który realizował: Modernizację sieci wodociągowej w ciągu ul. Wodnej. Wpłynęła ona pozytywnie na dostęp do wody dla całego miasta. W razie awarii w tym rejonie nie będzie konieczności wyłączania wody w całym mieście. Doceńmy zgodne z sztuką prowadzenie inwestycji. Najpierw musi być naprawione to co jest pod powierzchnią, gdzie w ramach tej inwestycji okazało się, iż konieczna jest naprawa nie tylko sieci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wodociągowej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ale również instalacji gazowej. Przez to, inwestycja okazała się naprawdę trudna w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realizacji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ale te koszty były niezbędne aby mieszkanki i mieszkańcy ulicy Wodnej byli bezpieczni i mogli się nią cieszyć przez wiele lat bez awarii.</w:t>
      </w:r>
    </w:p>
    <w:p w14:paraId="155A9BA6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Inwestycje przeprowadzano również w instytucjach kultury dzięki czemu poprawie uległo bezpieczeństwo użytkowania infrastruktury Chełmińskiego Domu Kultury poprzez rozbudowę instalacji zabezpieczenia przeciwpożarowego wraz z klapą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oddymieniową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oraz zmodernizowano dach obiektu. Muzeum Chełmińskiej przeprowadziło modernizację instalacji (cieplnej, elektrycznej i przeciwpożarowej) stanowiącą przygotowanie do realizacji szerokiego zakresu prac konserwatorskich obejmujących Salę Ślubów Ratusza.  </w:t>
      </w:r>
    </w:p>
    <w:p w14:paraId="5011FE21" w14:textId="77777777" w:rsidR="004B25B9" w:rsidRDefault="004B25B9" w:rsidP="004B25B9"/>
    <w:p w14:paraId="5D4F151F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 obszarze społecznym, który stanowi tkankę miasta, zauważamy zmiany w strukturze mieszkańców na przestrzeni lat. Zmniejszanie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się  liczby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ludności w wieku przedprodukcyjnym i produkcyjnym, natomiast zwiększanie się już do 25,2% ludności w wieku poprodukcyjnym. Co skłania nas do myślenia o budowaniu miasta dobrego do życia dla wszystkich.</w:t>
      </w:r>
    </w:p>
    <w:p w14:paraId="3DEA3DFF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Publiczne usługi edukacyjno-opiekuńcze cieszą się dużym zaufaniem społecznym i są wykonywane na wysokim poziomie na co wskazują przepływy z placówek prywatnych. Oferta edukacyjna skierowana jest również dla osób starszych w ramach Uniwersytetu Trzeciego Wieku, który aktywizuje uczestników nie tylko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intelektualnie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ale także fizycznie poprzez organizację Spartakiady, czy artystycznie przez realizację miejskiego kalendarza z pracami artystów z grupy plastycznej UTW, wystawy prac. </w:t>
      </w:r>
    </w:p>
    <w:p w14:paraId="5E594384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 aktywności mieszkanek i mieszkańców miasta świadczy zaangażowanie w kluby sportowe takiej jak: MLKS Nadwiślanin Chełmno (lekkoatletyka), LUKS Chełmno, UKS Nadwiślanin-Sokół Chełmno (kajakarstwo) i Chełmiński Klub Bokserski (pięściarstwo) lecz również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mażoretki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które mają zarówno sekcję juniorek jak i seniorek. Miasto Chełmno wspiera sport szkolny. W 2022 roku przeprowadzono 30 imprez sportowych w ramach Igrzysk Dzieci, Igrzysk Młodzieży Szkolnej i innych dla uczniów chełmińskich szkół. Rok 2022 był pierwszym pełnym sezonem na kortach tenisowych nad jeziorem Starogrodzkim, gdzie uczestnicy mogli korzystać z profesjonalnego sztucznego oświetlenia kortów. Środki na budowę przeznaczono z budżetu miasta, a także budżetu urzędu marszałkowskiego.</w:t>
      </w:r>
    </w:p>
    <w:p w14:paraId="217FFDAA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W ramach przyjmowania uchodźców z ogarniętej wojną Ukrainy, nadal 56 dzieci uczęszcza do placówek na terenie miasta. Mamy nadzieję, że dobrze się zaaklimatyzują w naszym mieście i będą w przyszłości jego czynnymi obywatelami.</w:t>
      </w:r>
    </w:p>
    <w:p w14:paraId="46332D03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Pozytywnym trendem jest sukcesywnie zmniejszająca się liczba rodzin korzystających z pomocy społecznej. Liczba osób w DPS utrzymuje się na zbliżonym poziomie jednak koszty ich utrzymania drastycznie wzrastają (o 12,8% w ciągu roku). Dlatego stworzony w 22r. projekt a w 23r. rozpoczęta budowa bloku na ul. Kościelnej z przeznaczeniem mieszkań: dla osób i rodzin z gminnego zasobu mieszkaniowego (Czas realizacji: luty 2025 r.; Koszt budowy: 12.971.099,61 zł brutto; Pozyskanie zewnętrznego finansowania w wysokości 95% wartości inwestycji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pozwoli na wydłużenie samodzielnego funkcjonowanie osób potrzebujących wsparcia.  </w:t>
      </w:r>
    </w:p>
    <w:p w14:paraId="3452A628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Wyzwaniem oprócz wzrastających nakładów na alimenty ok. 8 mln zł jest wzrost ilości dzieci objętych pieczą zastępczą. Liczba dzieci wzrosła o 29.8% (z 67 do 87 osób). Może to świadczyć o pogłębiającym się kryzysie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rodziny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ale również o dostrzeganiu dramatu dzieci przez instytucje do których uczęszczają i reagowaniu na zaniedbania ze strony rodziców.</w:t>
      </w:r>
    </w:p>
    <w:p w14:paraId="61BD0CBE" w14:textId="77777777" w:rsidR="004B25B9" w:rsidRDefault="004B25B9" w:rsidP="004B25B9"/>
    <w:p w14:paraId="2C9EC86A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Miasto podtrzymując kontakty z miastami partnerskimi łączy przyjemne z pożytecznym. Świętując 30-lecie współpracy równocześnie postanowiono wymienić się doświadczeniami w obliczu kryzysu humanitarnego jakiego doświadczyła Ukraina. </w:t>
      </w:r>
    </w:p>
    <w:p w14:paraId="627B59DB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W ramach współpracy budowane są strategie rozwoju turystyki zarówno w ramach marki Chełmno Miasto Zakochanych jak i związanych z zabytkami gotyckimi. Podjęto również pierwsze działania związane z promocją i tworzeniem marki turystycznej „Ziemia Chełmińska”. Jednak w kontekście ograniczeń finansowych, które nakładane są na samorządy jest to kolejna z dziedzin, która musi działać przy bardzo ograniczonych środkach finansowych.</w:t>
      </w:r>
    </w:p>
    <w:p w14:paraId="31330E1C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Należy podkreślić dbałość władz miasta o dobrą komunikację z mieszkankami i mieszkańcami, osobami związanymi z miastem oraz turystami. Zarówno w przestrzeni wirtualnej (UM Chełmno, Chełmno Miasto Zakochanych, Sportowe Chełmno + instytucje kultury) jak i realnej przez np. tablice informacyjne, na których zamieszczane są aktualizowane co tydzień informacje, czy otwarte spotkania z mieszkańcami, w różnych lokalizacjach miasta.</w:t>
      </w:r>
    </w:p>
    <w:p w14:paraId="0EB12310" w14:textId="77777777" w:rsidR="004B25B9" w:rsidRDefault="004B25B9" w:rsidP="004B25B9"/>
    <w:p w14:paraId="3C9ADCF4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Dzięki zaangażowaniu pana wiceburmistrza Piotra Murawskiego na bieżąco monitorowana i raportowana jest gospodarka odpadami. Koszty systemu gospodarowania odpadami komunalnymi wzrosły do ponad 5 mln zł wynikają one ze wzrostu płacy minimalnej, opłaty marszałkowskiej, cen oleju napędowego, energii elektrycznej. Zgodnie z regułami zarządzania większość kosztów pokrywana jest przez osoby wytwarzające odpady. Podpisując w marcu 22r. umowę na trzy lata zapewniono mieszkankom i mieszkańcom utrzymanie usług na dotychczasowym poziomie. Pozytywnie kształtuje się proces sortowania jednak należy nadal pracować nad poprawą wskaźników. Gminy są obowiązane osiągnąć poziom przygotowania do ponownego użycia i recyklingu odpadów komunalnych w wysokości co najmniej 35% wagowo - za rok 2023. </w:t>
      </w:r>
    </w:p>
    <w:p w14:paraId="1C1B42B3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Dbając o rozwój infrastruktury drogowej nie zapomina się o nowych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nasadzeniach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przyulicznych i skwerach bylinowych. Przy trzykrotnie mniejszych środkach przeznaczanych na Wydział Gospodarki Miejskiej i Ochrony Środowiska nadal utrzymywany jest wysoki poziom zazielenienia miasta. </w:t>
      </w:r>
    </w:p>
    <w:p w14:paraId="5CDAA07F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Prowadzone są bieżące naprawy schodów, chodników czy przebudowa kanalizacji deszczowej. Jednak przy tak okrojonych środkach, często nie możliwe jest wykonywanie zadań w oczekiwanym tempie.</w:t>
      </w:r>
    </w:p>
    <w:p w14:paraId="4A4C0F50" w14:textId="77777777" w:rsidR="004B25B9" w:rsidRDefault="004B25B9" w:rsidP="004B25B9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Mieszkańcy nadal chętnie korzystają z oferowanych dofinansowań z budżetu miasta na usunięcie wyrobów zawierających azbest oraz działania efektywne ekologiczne. Zauważamy jednak zmianę związaną z wojną i podwyżką cen gazu; znacznie więcej wniosków dotyczyło dofinansowania pomp ciepła niż w latach poprzednich. </w:t>
      </w:r>
    </w:p>
    <w:p w14:paraId="62F44E78" w14:textId="77777777" w:rsidR="004B25B9" w:rsidRDefault="004B25B9" w:rsidP="004B25B9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Z Raportu wynika, że miasto mimo niesprzyjających warunków zewnętrznych podejmowało szereg działań mających na celu rozwój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miasta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aby wszystkim mieszkankom i mieszkańcom żyło się w nim wygodnie i bezpiecznie.</w:t>
      </w:r>
    </w:p>
    <w:p w14:paraId="4F525993" w14:textId="7C25B7AB" w:rsidR="004B25B9" w:rsidRDefault="004B25B9" w:rsidP="004B25B9">
      <w:r>
        <w:br/>
      </w:r>
      <w:r>
        <w:br/>
      </w:r>
      <w:r>
        <w:br w:type="textWrapping" w:clear="all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Dominika Wikiera</w:t>
      </w:r>
    </w:p>
    <w:p w14:paraId="645509FD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B9"/>
    <w:rsid w:val="004B25B9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328"/>
  <w15:chartTrackingRefBased/>
  <w15:docId w15:val="{C18A5BD1-BE1C-4DB5-88F3-96A10611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5B9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25B9"/>
    <w:pPr>
      <w:spacing w:before="100" w:beforeAutospacing="1" w:after="100" w:afterAutospacing="1"/>
    </w:pPr>
  </w:style>
  <w:style w:type="character" w:customStyle="1" w:styleId="gmailsignatureprefix">
    <w:name w:val="gmail_signature_prefix"/>
    <w:basedOn w:val="Domylnaczcionkaakapitu"/>
    <w:rsid w:val="004B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1525</Words>
  <Characters>9152</Characters>
  <Application>Microsoft Office Word</Application>
  <DocSecurity>0</DocSecurity>
  <Lines>76</Lines>
  <Paragraphs>21</Paragraphs>
  <ScaleCrop>false</ScaleCrop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2023-09-08T10:36:00Z</dcterms:created>
  <dcterms:modified xsi:type="dcterms:W3CDTF">2023-09-08T10:36:00Z</dcterms:modified>
</cp:coreProperties>
</file>