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548489E4" w:rsidR="003859F7" w:rsidRPr="003859F7" w:rsidRDefault="003859F7" w:rsidP="003859F7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LXIII/.../2023</w:t>
      </w:r>
      <w:r w:rsidR="00204F73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 xml:space="preserve">              Druk nr 8 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 dnia 26 kwietnia 2023 r.</w:t>
      </w:r>
    </w:p>
    <w:p w14:paraId="4949D78A" w14:textId="77777777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2023-2029</w:t>
      </w:r>
    </w:p>
    <w:p w14:paraId="30DEA512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t.j</w:t>
      </w:r>
      <w:proofErr w:type="spellEnd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. Dz. U. z 2022 r., poz. 1634 z </w:t>
      </w:r>
      <w:proofErr w:type="spellStart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późn</w:t>
      </w:r>
      <w:proofErr w:type="spellEnd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. zm.)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176EEC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XLVIII/419/2022 Rady Miasta Chełmna z dnia 28 grudnia 2022 r. w sprawie uchwalenia Wieloletniej Prognozy Finansowej na lata 2023-2029, zmienionej:</w:t>
      </w:r>
    </w:p>
    <w:p w14:paraId="156CB825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 uchwałą Nr LX/347/2023 Rady Miasta Chełmna z dnia 22 lutego 2022 r.,</w:t>
      </w:r>
    </w:p>
    <w:p w14:paraId="06E11952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kern w:val="0"/>
        </w:rPr>
        <w:t>- uchwałą nr LXII/447/2023 Rady Miasta Chełmna z dnia 29 marca 2023 r.,</w:t>
      </w:r>
    </w:p>
    <w:p w14:paraId="049502E9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4.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8C6C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16076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A6EE5"/>
    <w:rsid w:val="00204F73"/>
    <w:rsid w:val="003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dcterms:created xsi:type="dcterms:W3CDTF">2023-04-19T10:06:00Z</dcterms:created>
  <dcterms:modified xsi:type="dcterms:W3CDTF">2023-04-19T10:06:00Z</dcterms:modified>
</cp:coreProperties>
</file>